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2023F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13-01102</w:t>
            </w:r>
          </w:p>
        </w:tc>
      </w:tr>
      <w:tr w:rsidR="00376910" w:rsidRPr="002023F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6910" w:rsidRPr="002023F9" w:rsidRDefault="00376910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76910" w:rsidRPr="002023F9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6910" w:rsidRPr="002023F9" w:rsidRDefault="00376910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023F9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 w:rsidP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376910" w:rsidRPr="002023F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09:02434</w:t>
            </w: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023F9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Часть КИПиА - АТХ1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2023F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  <w:highlight w:val="yellow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  <w:highlight w:val="yellow"/>
              </w:rPr>
              <w:t xml:space="preserve">18444-13/1-АТХ1, лист 1, 16173-13/1-АТХ1 изм.7; 17777-13/1-АТХ1 изм.7.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2023F9" w:rsidRDefault="0020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2023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2023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2023F9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2023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0"/>
        <w:gridCol w:w="2738"/>
        <w:gridCol w:w="4273"/>
        <w:gridCol w:w="1134"/>
        <w:gridCol w:w="1418"/>
      </w:tblGrid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 с последующим монтажом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покрытий полов из металлических плит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0.168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Восстановление покрытия подпольных каналов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16.8</w:t>
            </w:r>
          </w:p>
        </w:tc>
      </w:tr>
      <w:tr w:rsidR="00376910" w:rsidRPr="002023F9" w:rsidTr="00CF456D">
        <w:tblPrEx>
          <w:tblCellMar>
            <w:top w:w="0" w:type="dxa"/>
            <w:bottom w:w="0" w:type="dxa"/>
          </w:tblCellMar>
        </w:tblPrEx>
        <w:trPr>
          <w:gridAfter w:val="3"/>
          <w:wAfter w:w="6825" w:type="dxa"/>
          <w:trHeight w:val="380"/>
        </w:trPr>
        <w:tc>
          <w:tcPr>
            <w:tcW w:w="309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ТЭЗ).Модуль аналогового ввода.</w:t>
            </w:r>
          </w:p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и защиты. Реле промежуточное.</w:t>
            </w:r>
          </w:p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сечением, мм2, до: 2,5</w:t>
            </w:r>
          </w:p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1.28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376910" w:rsidRPr="002023F9" w:rsidTr="00412ED2">
        <w:tblPrEx>
          <w:tblCellMar>
            <w:top w:w="0" w:type="dxa"/>
            <w:bottom w:w="0" w:type="dxa"/>
          </w:tblCellMar>
        </w:tblPrEx>
        <w:trPr>
          <w:gridAfter w:val="3"/>
          <w:wAfter w:w="6825" w:type="dxa"/>
          <w:trHeight w:val="380"/>
        </w:trPr>
        <w:tc>
          <w:tcPr>
            <w:tcW w:w="309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ТЭЗ).Измерительный преобразователь с гальванической развязкой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ТЭЗ). Переключающий усилитель с гальванической развязкой.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ТЭЗ).Модуль аналогового ввода.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0.36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 к сущ. оборудованию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до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0.26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монтажный КуПе-ОЭнг(А)-LS 2*2*1,0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установочный ПуГВнг(В)-LS 1,5мм2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установочный ПуГВнг(В)-LS 1,0мм2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DIN-рейка NS35/7.5 PERF/700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76910" w:rsidRPr="002023F9" w:rsidTr="00B0306F">
        <w:tblPrEx>
          <w:tblCellMar>
            <w:top w:w="0" w:type="dxa"/>
            <w:bottom w:w="0" w:type="dxa"/>
          </w:tblCellMar>
        </w:tblPrEx>
        <w:trPr>
          <w:gridAfter w:val="3"/>
          <w:wAfter w:w="6825" w:type="dxa"/>
          <w:trHeight w:val="380"/>
        </w:trPr>
        <w:tc>
          <w:tcPr>
            <w:tcW w:w="3098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2023F9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Стоимость оборудования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Измерительный преобразователь IM33-12Ex-Hi/24VDC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Переключающий усилитель с гальванической развязкой IM1-12Ex-R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76910" w:rsidRPr="002023F9" w:rsidTr="0037691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70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аналогового ввода на 16 каналов 1746-NI16I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76910" w:rsidRPr="002023F9" w:rsidRDefault="0037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2023F9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000000" w:rsidRDefault="002023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2023F9" w:rsidRDefault="002023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2023F9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3F9" w:rsidRDefault="002023F9" w:rsidP="00F94496">
      <w:pPr>
        <w:spacing w:after="0" w:line="240" w:lineRule="auto"/>
      </w:pPr>
      <w:r>
        <w:separator/>
      </w:r>
    </w:p>
  </w:endnote>
  <w:endnote w:type="continuationSeparator" w:id="0">
    <w:p w:rsidR="002023F9" w:rsidRDefault="002023F9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3F9" w:rsidRDefault="002023F9" w:rsidP="00F94496">
      <w:pPr>
        <w:spacing w:after="0" w:line="240" w:lineRule="auto"/>
      </w:pPr>
      <w:r>
        <w:separator/>
      </w:r>
    </w:p>
  </w:footnote>
  <w:footnote w:type="continuationSeparator" w:id="0">
    <w:p w:rsidR="002023F9" w:rsidRDefault="002023F9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023F9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910"/>
    <w:rsid w:val="002023F9"/>
    <w:rsid w:val="0037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2014-10-14T08:48:00Z</cp:lastPrinted>
  <dcterms:created xsi:type="dcterms:W3CDTF">2014-10-14T08:49:00Z</dcterms:created>
  <dcterms:modified xsi:type="dcterms:W3CDTF">2014-10-14T08:49:00Z</dcterms:modified>
</cp:coreProperties>
</file>